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93" w:rsidRDefault="008D522B" w:rsidP="008D522B">
      <w:pPr>
        <w:jc w:val="center"/>
        <w:rPr>
          <w:b/>
          <w:bCs/>
        </w:rPr>
      </w:pPr>
      <w:r w:rsidRPr="00CB6193">
        <w:rPr>
          <w:b/>
          <w:bCs/>
        </w:rPr>
        <w:t>SAVAŞ BAĞLAMINDA ÖN ALICI VE ÖNLEYİCİ SALDIRI</w:t>
      </w:r>
    </w:p>
    <w:p w:rsidR="008D522B" w:rsidRPr="00CB6193" w:rsidRDefault="008D522B" w:rsidP="008D522B">
      <w:pPr>
        <w:jc w:val="both"/>
        <w:rPr>
          <w:b/>
          <w:bCs/>
        </w:rPr>
      </w:pPr>
    </w:p>
    <w:p w:rsidR="008D522B" w:rsidRDefault="00CB6193" w:rsidP="008D522B">
      <w:pPr>
        <w:jc w:val="both"/>
      </w:pPr>
      <w:r w:rsidRPr="00CB6193">
        <w:t xml:space="preserve">Savaş ve askeri stratejiler bağlamında, ön alıcı saldırı (preemptive attack) ve önleyici saldırı (preventive attack) kavramları önemli bir yer tutar. Bu iki terim genellikle karıştırılsa da, farklı stratejik ve hukuki anlamlara sahiptirler. </w:t>
      </w:r>
    </w:p>
    <w:p w:rsidR="008D522B" w:rsidRDefault="008D522B" w:rsidP="008D522B">
      <w:pPr>
        <w:jc w:val="both"/>
        <w:rPr>
          <w:b/>
          <w:bCs/>
        </w:rPr>
      </w:pPr>
    </w:p>
    <w:p w:rsidR="00CB6193" w:rsidRPr="00CB6193" w:rsidRDefault="00CB6193" w:rsidP="008D522B">
      <w:pPr>
        <w:jc w:val="both"/>
        <w:rPr>
          <w:b/>
          <w:bCs/>
        </w:rPr>
      </w:pPr>
      <w:r w:rsidRPr="00CB6193">
        <w:rPr>
          <w:b/>
          <w:bCs/>
        </w:rPr>
        <w:t>1. Ön Alıcı Saldırı (Preemptive Attack)</w:t>
      </w:r>
    </w:p>
    <w:p w:rsidR="000C567A" w:rsidRDefault="00CB6193" w:rsidP="000C567A">
      <w:pPr>
        <w:jc w:val="both"/>
      </w:pPr>
      <w:r w:rsidRPr="00CB6193">
        <w:t>Ön alıcı saldırı, bir ülkenin ya da birliğin, karşı tarafın yakın gelecekte kesin olarak gerçekleştireceği bir saldırıyı önlemek amacıyla yapılan saldırıdır. Bu tür saldırılar, karşı tarafın saldırı hazırlıkları yapıyor olduğu, saldırının yakın ve kaçınılmaz olduğu durumlarda gerçekleştirilir.</w:t>
      </w:r>
    </w:p>
    <w:p w:rsidR="000C567A" w:rsidRDefault="000C567A" w:rsidP="000C567A">
      <w:pPr>
        <w:jc w:val="both"/>
        <w:rPr>
          <w:b/>
          <w:bCs/>
        </w:rPr>
      </w:pPr>
    </w:p>
    <w:p w:rsidR="00CB6193" w:rsidRPr="000C567A" w:rsidRDefault="00CB6193" w:rsidP="000C567A">
      <w:pPr>
        <w:jc w:val="both"/>
      </w:pPr>
      <w:r w:rsidRPr="00CB6193">
        <w:rPr>
          <w:b/>
          <w:bCs/>
        </w:rPr>
        <w:t>Örnek:1967 Altı Gün Savaşı:</w:t>
      </w:r>
      <w:r w:rsidRPr="00CB6193">
        <w:t xml:space="preserve"> İsrail, Mısır’ın saldırı hazırlıkları yaptığını öne sürerek Mısır’a karşı ön alıcı bir saldırı gerçekleştirdi. İsrail, Mısır’ın saldırısının kaçınılmaz olduğu ve bu durumu engellemek amacıyla hareket ettiğini savundu.</w:t>
      </w:r>
    </w:p>
    <w:p w:rsidR="000C567A" w:rsidRDefault="000C567A" w:rsidP="008D522B">
      <w:pPr>
        <w:jc w:val="both"/>
      </w:pPr>
    </w:p>
    <w:p w:rsidR="00CB6193" w:rsidRPr="00CB6193" w:rsidRDefault="00CB6193" w:rsidP="008D522B">
      <w:pPr>
        <w:jc w:val="both"/>
      </w:pPr>
      <w:r w:rsidRPr="00CB6193">
        <w:t>Uluslararası hukuk, genellikle ön alıcı saldırıyı, "meşru müdafaa" (self-defense) kapsamında değerlendirir. Bir saldırının ön alıcı sayılabilmesi için saldırı tehdidinin yakın, kaçınılmaz ve belirgin olması gerekir. Ancak, bu durum her zaman net bir şekilde tespit edilemediği için, ön alıcı saldırılar sıkça tartışmalara yol açar.</w:t>
      </w:r>
    </w:p>
    <w:p w:rsidR="000C567A" w:rsidRDefault="000C567A" w:rsidP="008D522B">
      <w:pPr>
        <w:jc w:val="both"/>
        <w:rPr>
          <w:b/>
          <w:bCs/>
        </w:rPr>
      </w:pPr>
    </w:p>
    <w:p w:rsidR="00CB6193" w:rsidRPr="00CB6193" w:rsidRDefault="00CB6193" w:rsidP="008D522B">
      <w:pPr>
        <w:jc w:val="both"/>
        <w:rPr>
          <w:b/>
          <w:bCs/>
        </w:rPr>
      </w:pPr>
      <w:r w:rsidRPr="00CB6193">
        <w:rPr>
          <w:b/>
          <w:bCs/>
        </w:rPr>
        <w:t>2. Önleyici Saldırı (Preventive Attack)</w:t>
      </w:r>
    </w:p>
    <w:p w:rsidR="00CB6193" w:rsidRPr="00CB6193" w:rsidRDefault="00CB6193" w:rsidP="008D522B">
      <w:pPr>
        <w:jc w:val="both"/>
      </w:pPr>
      <w:r w:rsidRPr="00CB6193">
        <w:t>Önleyici saldırı, uzun vadede tehdit oluşturabilecek potansiyel bir güç veya riskin ortadan kaldırılması amacıyla yapılan saldırıdır. Ön alıcı saldırıdan farklı olarak, burada tehdit henüz yakın veya kaçınılmaz değildir; ancak gelecekte böyle bir tehdit olabileceği öngörülmektedir.</w:t>
      </w:r>
    </w:p>
    <w:p w:rsidR="000C567A" w:rsidRDefault="000C567A" w:rsidP="000C567A">
      <w:pPr>
        <w:jc w:val="both"/>
        <w:rPr>
          <w:b/>
          <w:bCs/>
        </w:rPr>
      </w:pPr>
    </w:p>
    <w:p w:rsidR="00CB6193" w:rsidRPr="000C567A" w:rsidRDefault="000C567A" w:rsidP="000C567A">
      <w:pPr>
        <w:jc w:val="both"/>
        <w:rPr>
          <w:b/>
          <w:bCs/>
        </w:rPr>
      </w:pPr>
      <w:r>
        <w:rPr>
          <w:b/>
          <w:bCs/>
        </w:rPr>
        <w:t>Ö</w:t>
      </w:r>
      <w:r w:rsidR="00CB6193" w:rsidRPr="00CB6193">
        <w:rPr>
          <w:b/>
          <w:bCs/>
        </w:rPr>
        <w:t>rnek:</w:t>
      </w:r>
      <w:r>
        <w:rPr>
          <w:b/>
          <w:bCs/>
        </w:rPr>
        <w:t xml:space="preserve"> 2</w:t>
      </w:r>
      <w:r w:rsidR="00CB6193" w:rsidRPr="00CB6193">
        <w:rPr>
          <w:b/>
          <w:bCs/>
        </w:rPr>
        <w:t>003 Irak Savaşı:</w:t>
      </w:r>
      <w:r w:rsidR="00CB6193" w:rsidRPr="00CB6193">
        <w:t xml:space="preserve"> ABD, Irak’ın kitle imha silahlarına sahip olabileceği ve bu durumun gelecekte ABD ve müttefikleri için tehdit oluşturabileceği gerekçesiyle Irak’a karşı bir saldırı başlattı. Bu saldırı, birçokları tarafından önleyici bir saldırı olarak değerlendirilmiştir.</w:t>
      </w:r>
    </w:p>
    <w:p w:rsidR="000C567A" w:rsidRDefault="000C567A" w:rsidP="008D522B">
      <w:pPr>
        <w:jc w:val="both"/>
      </w:pPr>
    </w:p>
    <w:p w:rsidR="00CB6193" w:rsidRDefault="00CB6193" w:rsidP="008D522B">
      <w:pPr>
        <w:jc w:val="both"/>
      </w:pPr>
      <w:r w:rsidRPr="00CB6193">
        <w:t>Uluslararası hukukta önleyici saldırılar, genellikle meşru müdafaa kapsamında değerlendirilmez ve yasadışı kabul edilir. Bunun nedeni, saldırının "kaçınılmaz" bir tehditten ziyade, gelecekteki olası tehditlere dayanmasıdır. Önleyici saldırılar, devletlerin keyfi saldırılarını meşrulaştırma aracı olarak kullanılabileceği için uluslararası barış ve güvenliği tehlikeye atabilir.</w:t>
      </w:r>
    </w:p>
    <w:p w:rsidR="000C567A" w:rsidRPr="00CB6193" w:rsidRDefault="000C567A" w:rsidP="008D522B">
      <w:pPr>
        <w:jc w:val="both"/>
      </w:pPr>
    </w:p>
    <w:p w:rsidR="00CB6193" w:rsidRDefault="00CB6193" w:rsidP="008D522B">
      <w:pPr>
        <w:jc w:val="both"/>
        <w:rPr>
          <w:b/>
          <w:bCs/>
        </w:rPr>
      </w:pPr>
      <w:r w:rsidRPr="00CB6193">
        <w:rPr>
          <w:b/>
          <w:bCs/>
        </w:rPr>
        <w:lastRenderedPageBreak/>
        <w:t>3. Ön Alıcı ve Önleyici Saldırının Karşılaştırılması</w:t>
      </w:r>
    </w:p>
    <w:p w:rsidR="000C567A" w:rsidRPr="00CB6193" w:rsidRDefault="000C567A" w:rsidP="008D522B">
      <w:pPr>
        <w:jc w:val="both"/>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3"/>
        <w:gridCol w:w="2948"/>
        <w:gridCol w:w="3513"/>
      </w:tblGrid>
      <w:tr w:rsidR="00CB6193" w:rsidRPr="00CB6193" w:rsidTr="00CB6193">
        <w:trPr>
          <w:tblHeader/>
          <w:tblCellSpacing w:w="15" w:type="dxa"/>
        </w:trPr>
        <w:tc>
          <w:tcPr>
            <w:tcW w:w="0" w:type="auto"/>
            <w:vAlign w:val="center"/>
            <w:hideMark/>
          </w:tcPr>
          <w:p w:rsidR="00CB6193" w:rsidRPr="00CB6193" w:rsidRDefault="00CB6193" w:rsidP="008D522B">
            <w:pPr>
              <w:jc w:val="both"/>
              <w:rPr>
                <w:b/>
                <w:bCs/>
              </w:rPr>
            </w:pPr>
            <w:r w:rsidRPr="00CB6193">
              <w:rPr>
                <w:b/>
                <w:bCs/>
              </w:rPr>
              <w:t>Özellik</w:t>
            </w:r>
          </w:p>
        </w:tc>
        <w:tc>
          <w:tcPr>
            <w:tcW w:w="0" w:type="auto"/>
            <w:vAlign w:val="center"/>
            <w:hideMark/>
          </w:tcPr>
          <w:p w:rsidR="00CB6193" w:rsidRPr="00CB6193" w:rsidRDefault="00CB6193" w:rsidP="008D522B">
            <w:pPr>
              <w:jc w:val="both"/>
              <w:rPr>
                <w:b/>
                <w:bCs/>
              </w:rPr>
            </w:pPr>
            <w:r w:rsidRPr="00CB6193">
              <w:rPr>
                <w:b/>
                <w:bCs/>
              </w:rPr>
              <w:t>Ön Alıcı Saldırı</w:t>
            </w:r>
          </w:p>
        </w:tc>
        <w:tc>
          <w:tcPr>
            <w:tcW w:w="0" w:type="auto"/>
            <w:vAlign w:val="center"/>
            <w:hideMark/>
          </w:tcPr>
          <w:p w:rsidR="00CB6193" w:rsidRPr="00CB6193" w:rsidRDefault="00CB6193" w:rsidP="008D522B">
            <w:pPr>
              <w:jc w:val="both"/>
              <w:rPr>
                <w:b/>
                <w:bCs/>
              </w:rPr>
            </w:pPr>
            <w:r w:rsidRPr="00CB6193">
              <w:rPr>
                <w:b/>
                <w:bCs/>
              </w:rPr>
              <w:t>Önleyici Saldırı</w:t>
            </w:r>
          </w:p>
        </w:tc>
      </w:tr>
      <w:tr w:rsidR="00CB6193" w:rsidRPr="00CB6193" w:rsidTr="00CB6193">
        <w:trPr>
          <w:tblCellSpacing w:w="15" w:type="dxa"/>
        </w:trPr>
        <w:tc>
          <w:tcPr>
            <w:tcW w:w="0" w:type="auto"/>
            <w:vAlign w:val="center"/>
            <w:hideMark/>
          </w:tcPr>
          <w:p w:rsidR="00CB6193" w:rsidRPr="00CB6193" w:rsidRDefault="00CB6193" w:rsidP="008D522B">
            <w:pPr>
              <w:jc w:val="both"/>
            </w:pPr>
            <w:r w:rsidRPr="00CB6193">
              <w:rPr>
                <w:b/>
                <w:bCs/>
              </w:rPr>
              <w:t>Tehditin Zamanlaması</w:t>
            </w:r>
          </w:p>
        </w:tc>
        <w:tc>
          <w:tcPr>
            <w:tcW w:w="0" w:type="auto"/>
            <w:vAlign w:val="center"/>
            <w:hideMark/>
          </w:tcPr>
          <w:p w:rsidR="00CB6193" w:rsidRPr="00CB6193" w:rsidRDefault="00CB6193" w:rsidP="008D522B">
            <w:pPr>
              <w:jc w:val="both"/>
            </w:pPr>
            <w:r w:rsidRPr="00CB6193">
              <w:t>Yakın ve kaçınılmaz bir saldırı tehdidi</w:t>
            </w:r>
          </w:p>
        </w:tc>
        <w:tc>
          <w:tcPr>
            <w:tcW w:w="0" w:type="auto"/>
            <w:vAlign w:val="center"/>
            <w:hideMark/>
          </w:tcPr>
          <w:p w:rsidR="00CB6193" w:rsidRPr="00CB6193" w:rsidRDefault="00CB6193" w:rsidP="008D522B">
            <w:pPr>
              <w:jc w:val="both"/>
            </w:pPr>
            <w:r w:rsidRPr="00CB6193">
              <w:t>Uzun vadede potansiyel bir tehdit</w:t>
            </w:r>
          </w:p>
        </w:tc>
      </w:tr>
      <w:tr w:rsidR="00CB6193" w:rsidRPr="00CB6193" w:rsidTr="00CB6193">
        <w:trPr>
          <w:tblCellSpacing w:w="15" w:type="dxa"/>
        </w:trPr>
        <w:tc>
          <w:tcPr>
            <w:tcW w:w="0" w:type="auto"/>
            <w:vAlign w:val="center"/>
            <w:hideMark/>
          </w:tcPr>
          <w:p w:rsidR="00CB6193" w:rsidRPr="00CB6193" w:rsidRDefault="00CB6193" w:rsidP="008D522B">
            <w:pPr>
              <w:jc w:val="both"/>
            </w:pPr>
            <w:r w:rsidRPr="00CB6193">
              <w:rPr>
                <w:b/>
                <w:bCs/>
              </w:rPr>
              <w:t>Meşruiyet Kriteri</w:t>
            </w:r>
          </w:p>
        </w:tc>
        <w:tc>
          <w:tcPr>
            <w:tcW w:w="0" w:type="auto"/>
            <w:vAlign w:val="center"/>
            <w:hideMark/>
          </w:tcPr>
          <w:p w:rsidR="00CB6193" w:rsidRPr="00CB6193" w:rsidRDefault="00CB6193" w:rsidP="008D522B">
            <w:pPr>
              <w:jc w:val="both"/>
            </w:pPr>
            <w:r w:rsidRPr="00CB6193">
              <w:t>Meşru müdafaa kapsamında kabul edilebilir</w:t>
            </w:r>
          </w:p>
        </w:tc>
        <w:tc>
          <w:tcPr>
            <w:tcW w:w="0" w:type="auto"/>
            <w:vAlign w:val="center"/>
            <w:hideMark/>
          </w:tcPr>
          <w:p w:rsidR="00CB6193" w:rsidRPr="00CB6193" w:rsidRDefault="00CB6193" w:rsidP="008D522B">
            <w:pPr>
              <w:jc w:val="both"/>
            </w:pPr>
            <w:r w:rsidRPr="00CB6193">
              <w:t>Genellikle yasadışı ve meşru kabul edilmez</w:t>
            </w:r>
          </w:p>
        </w:tc>
      </w:tr>
      <w:tr w:rsidR="00CB6193" w:rsidRPr="00CB6193" w:rsidTr="00CB6193">
        <w:trPr>
          <w:tblCellSpacing w:w="15" w:type="dxa"/>
        </w:trPr>
        <w:tc>
          <w:tcPr>
            <w:tcW w:w="0" w:type="auto"/>
            <w:vAlign w:val="center"/>
            <w:hideMark/>
          </w:tcPr>
          <w:p w:rsidR="00CB6193" w:rsidRPr="00CB6193" w:rsidRDefault="00CB6193" w:rsidP="008D522B">
            <w:pPr>
              <w:jc w:val="both"/>
            </w:pPr>
            <w:r w:rsidRPr="00CB6193">
              <w:rPr>
                <w:b/>
                <w:bCs/>
              </w:rPr>
              <w:t>Hukuki Dayanak</w:t>
            </w:r>
          </w:p>
        </w:tc>
        <w:tc>
          <w:tcPr>
            <w:tcW w:w="0" w:type="auto"/>
            <w:vAlign w:val="center"/>
            <w:hideMark/>
          </w:tcPr>
          <w:p w:rsidR="00CB6193" w:rsidRPr="00CB6193" w:rsidRDefault="00CB6193" w:rsidP="008D522B">
            <w:pPr>
              <w:jc w:val="both"/>
            </w:pPr>
            <w:r w:rsidRPr="00CB6193">
              <w:t>BM Şartı Madde 51: "Açık ve mevcut tehlike" şartı</w:t>
            </w:r>
          </w:p>
        </w:tc>
        <w:tc>
          <w:tcPr>
            <w:tcW w:w="0" w:type="auto"/>
            <w:vAlign w:val="center"/>
            <w:hideMark/>
          </w:tcPr>
          <w:p w:rsidR="00CB6193" w:rsidRPr="00CB6193" w:rsidRDefault="00CB6193" w:rsidP="008D522B">
            <w:pPr>
              <w:jc w:val="both"/>
            </w:pPr>
            <w:r w:rsidRPr="00CB6193">
              <w:t>Hukuki dayanak zayıftır ve uluslararası hukuka aykırıdır</w:t>
            </w:r>
          </w:p>
        </w:tc>
      </w:tr>
      <w:tr w:rsidR="00CB6193" w:rsidRPr="00CB6193" w:rsidTr="00CB6193">
        <w:trPr>
          <w:tblCellSpacing w:w="15" w:type="dxa"/>
        </w:trPr>
        <w:tc>
          <w:tcPr>
            <w:tcW w:w="0" w:type="auto"/>
            <w:vAlign w:val="center"/>
            <w:hideMark/>
          </w:tcPr>
          <w:p w:rsidR="00CB6193" w:rsidRPr="00CB6193" w:rsidRDefault="00CB6193" w:rsidP="008D522B">
            <w:pPr>
              <w:jc w:val="both"/>
            </w:pPr>
            <w:r w:rsidRPr="00CB6193">
              <w:rPr>
                <w:b/>
                <w:bCs/>
              </w:rPr>
              <w:t>Etik Değerlendirme</w:t>
            </w:r>
          </w:p>
        </w:tc>
        <w:tc>
          <w:tcPr>
            <w:tcW w:w="0" w:type="auto"/>
            <w:vAlign w:val="center"/>
            <w:hideMark/>
          </w:tcPr>
          <w:p w:rsidR="00CB6193" w:rsidRPr="00CB6193" w:rsidRDefault="00CB6193" w:rsidP="008D522B">
            <w:pPr>
              <w:jc w:val="both"/>
            </w:pPr>
            <w:r w:rsidRPr="00CB6193">
              <w:t>Tehdit gerçekse ve kaçınılmazsa etik olarak savunulabilir</w:t>
            </w:r>
          </w:p>
        </w:tc>
        <w:tc>
          <w:tcPr>
            <w:tcW w:w="0" w:type="auto"/>
            <w:vAlign w:val="center"/>
            <w:hideMark/>
          </w:tcPr>
          <w:p w:rsidR="00CB6193" w:rsidRPr="00CB6193" w:rsidRDefault="00CB6193" w:rsidP="008D522B">
            <w:pPr>
              <w:jc w:val="both"/>
            </w:pPr>
            <w:r w:rsidRPr="00CB6193">
              <w:t>Gelecekteki olasılıklar üzerinden hareket edilmesi etik sorunlar doğurur</w:t>
            </w:r>
          </w:p>
        </w:tc>
      </w:tr>
      <w:tr w:rsidR="00CB6193" w:rsidRPr="00CB6193" w:rsidTr="00CB6193">
        <w:trPr>
          <w:tblCellSpacing w:w="15" w:type="dxa"/>
        </w:trPr>
        <w:tc>
          <w:tcPr>
            <w:tcW w:w="0" w:type="auto"/>
            <w:vAlign w:val="center"/>
            <w:hideMark/>
          </w:tcPr>
          <w:p w:rsidR="00CB6193" w:rsidRPr="00CB6193" w:rsidRDefault="00CB6193" w:rsidP="008D522B">
            <w:pPr>
              <w:jc w:val="both"/>
            </w:pPr>
            <w:r w:rsidRPr="00CB6193">
              <w:rPr>
                <w:b/>
                <w:bCs/>
              </w:rPr>
              <w:t>Örnekler</w:t>
            </w:r>
          </w:p>
        </w:tc>
        <w:tc>
          <w:tcPr>
            <w:tcW w:w="0" w:type="auto"/>
            <w:vAlign w:val="center"/>
            <w:hideMark/>
          </w:tcPr>
          <w:p w:rsidR="00CB6193" w:rsidRPr="00CB6193" w:rsidRDefault="00CB6193" w:rsidP="008D522B">
            <w:pPr>
              <w:jc w:val="both"/>
            </w:pPr>
            <w:r w:rsidRPr="00CB6193">
              <w:t>1967 İsrail-Mısır Savaşı</w:t>
            </w:r>
          </w:p>
        </w:tc>
        <w:tc>
          <w:tcPr>
            <w:tcW w:w="0" w:type="auto"/>
            <w:vAlign w:val="center"/>
            <w:hideMark/>
          </w:tcPr>
          <w:p w:rsidR="00CB6193" w:rsidRPr="00CB6193" w:rsidRDefault="00CB6193" w:rsidP="008D522B">
            <w:pPr>
              <w:jc w:val="both"/>
            </w:pPr>
            <w:r w:rsidRPr="00CB6193">
              <w:t>2003 ABD-Irak Savaşı</w:t>
            </w:r>
          </w:p>
        </w:tc>
      </w:tr>
    </w:tbl>
    <w:p w:rsidR="00CB6193" w:rsidRDefault="00CB6193" w:rsidP="008D522B">
      <w:pPr>
        <w:jc w:val="both"/>
        <w:rPr>
          <w:b/>
          <w:bCs/>
        </w:rPr>
      </w:pPr>
    </w:p>
    <w:p w:rsidR="00CB6193" w:rsidRPr="00CB6193" w:rsidRDefault="00CB6193" w:rsidP="008D522B">
      <w:pPr>
        <w:jc w:val="both"/>
        <w:rPr>
          <w:b/>
          <w:bCs/>
        </w:rPr>
      </w:pPr>
      <w:r w:rsidRPr="00CB6193">
        <w:rPr>
          <w:b/>
          <w:bCs/>
        </w:rPr>
        <w:t>4. Uluslararası Hukuk ve Ön Alıcı/Önleyici Saldırılar</w:t>
      </w:r>
    </w:p>
    <w:p w:rsidR="00CB6193" w:rsidRPr="00CB6193" w:rsidRDefault="00CB6193" w:rsidP="008D522B">
      <w:pPr>
        <w:jc w:val="both"/>
      </w:pPr>
      <w:r w:rsidRPr="00CB6193">
        <w:t>Uluslararası hukukta, BM Şartı'nın 2. ve 51. maddeleri, saldırganlığı ve meşru müdafaa hakkını düzenler. BM Şartı'nın 2. maddesi, devletlerin diğer devletlerin egemenliklerine karşı kuvvet kullanmalarını yasaklarken, 51. madde "silahlı bir saldırıya maruz kalan" devletlerin kendilerini savunma hakkını tanır. Ön alıcı saldırılar, bu çerçevede bazı durumlarda meşru müdafaa olarak değerlendirilebilirken, önleyici saldırılar genellikle bu kapsamın dışında kalır ve uluslararası hukuka aykırı sayılır.</w:t>
      </w:r>
    </w:p>
    <w:p w:rsidR="00CB6193" w:rsidRPr="00CB6193" w:rsidRDefault="00CB6193" w:rsidP="008D522B">
      <w:pPr>
        <w:jc w:val="both"/>
        <w:rPr>
          <w:b/>
          <w:bCs/>
        </w:rPr>
      </w:pPr>
      <w:r w:rsidRPr="00CB6193">
        <w:rPr>
          <w:b/>
          <w:bCs/>
        </w:rPr>
        <w:t>5. Etik Tartışmalar</w:t>
      </w:r>
    </w:p>
    <w:p w:rsidR="00CB6193" w:rsidRPr="00CB6193" w:rsidRDefault="00CB6193" w:rsidP="008D522B">
      <w:pPr>
        <w:jc w:val="both"/>
      </w:pPr>
      <w:r w:rsidRPr="00CB6193">
        <w:t>Ön alıcı ve önleyici saldırılar, sadece hukuki değil, aynı zamanda etik tartışmalar da doğurur. Bir ülkenin, başka bir ülkeye saldırı hazırlığında olduğuna karar vermesi, güvenilir istihbarat ve kesin kanıtlar gerektirir. Yanlış bilgi veya önyargılarla hareket edilmesi, masum insanların hayatını tehlikeye atabilir ve gereksiz savaşlara yol açabilir. Ayrıca, önleyici saldırılar, devletlerin güçlerini kötüye kullanmalarına ve uluslararası düzenin bozulmasına neden olabilir.</w:t>
      </w:r>
    </w:p>
    <w:p w:rsidR="00CB6193" w:rsidRPr="00CB6193" w:rsidRDefault="00CB6193" w:rsidP="008D522B">
      <w:pPr>
        <w:jc w:val="both"/>
        <w:rPr>
          <w:b/>
          <w:bCs/>
        </w:rPr>
      </w:pPr>
      <w:r w:rsidRPr="00CB6193">
        <w:rPr>
          <w:b/>
          <w:bCs/>
        </w:rPr>
        <w:t>6. Sonuç</w:t>
      </w:r>
    </w:p>
    <w:p w:rsidR="00CB6193" w:rsidRPr="00CB6193" w:rsidRDefault="00CB6193" w:rsidP="008D522B">
      <w:pPr>
        <w:jc w:val="both"/>
      </w:pPr>
      <w:r w:rsidRPr="00CB6193">
        <w:t xml:space="preserve">Ön alıcı ve önleyici saldırılar, savaş stratejileri ve uluslararası ilişkilerde </w:t>
      </w:r>
      <w:r w:rsidR="00D15187">
        <w:t xml:space="preserve">üzerinde uzlaşmaya varılamamış, </w:t>
      </w:r>
      <w:r w:rsidRPr="00CB6193">
        <w:t>karmaşık ve tartışmalı konulardır. Her iki kavram da, devletlerin güvenliklerini sağlama çabaları ile uluslararası hukuk ve etik prensipler arasındaki dengeyi temsil eder. Ön alıcı saldırılar, meşru müdafaa çerçevesinde belirli koşullar altında kabul edilebilirken; önleyici saldırılar genellikle uluslararası hukuka ve etik değerlere aykırı kabul edilir. Bu nedenle, devletlerin bu tür stratejileri uygularken dikkatli ve sorumlu hareket etmeleri büyük önem taşır.</w:t>
      </w:r>
    </w:p>
    <w:p w:rsidR="001C1676" w:rsidRDefault="001C1676" w:rsidP="008D522B">
      <w:pPr>
        <w:jc w:val="both"/>
      </w:pPr>
    </w:p>
    <w:p w:rsidR="00D15187" w:rsidRDefault="008166BC" w:rsidP="00D15187">
      <w:pPr>
        <w:jc w:val="center"/>
        <w:rPr>
          <w:b/>
          <w:bCs/>
        </w:rPr>
      </w:pPr>
      <w:r>
        <w:rPr>
          <w:b/>
          <w:bCs/>
        </w:rPr>
        <w:t>İ</w:t>
      </w:r>
      <w:r w:rsidR="00D15187" w:rsidRPr="001C1676">
        <w:rPr>
          <w:b/>
          <w:bCs/>
        </w:rPr>
        <w:t>SRAİL’İN TARİHTE ÖN ALICI SAVUNMA STRATEJİLERİ</w:t>
      </w:r>
    </w:p>
    <w:p w:rsidR="008166BC" w:rsidRDefault="008166BC" w:rsidP="00D15187">
      <w:pPr>
        <w:jc w:val="center"/>
        <w:rPr>
          <w:b/>
          <w:bCs/>
        </w:rPr>
      </w:pPr>
    </w:p>
    <w:p w:rsidR="00D15187" w:rsidRDefault="001C1676" w:rsidP="008D522B">
      <w:pPr>
        <w:jc w:val="both"/>
      </w:pPr>
      <w:r w:rsidRPr="001C1676">
        <w:t xml:space="preserve">İsrail, kurulduğu 1948 yılından bu yana, çevresindeki ülkelerden gelen sürekli tehditler ve istikrarsızlıklar karşısında savunma stratejilerini şekillendirmiştir. Bu stratejiler arasında en dikkat çekici olanlardan biri de "ön alıcı savunma" yaklaşımıdır. Ön alıcı savunma, potansiyel tehditlerin henüz ortaya çıkmadan önce ortadan kaldırılmasını veya kontrol altına alınmasını amaçlayan proaktif bir askeri stratejidir. </w:t>
      </w:r>
    </w:p>
    <w:p w:rsidR="00D15187" w:rsidRDefault="00D15187" w:rsidP="008D522B">
      <w:pPr>
        <w:jc w:val="both"/>
        <w:rPr>
          <w:b/>
          <w:bCs/>
        </w:rPr>
      </w:pPr>
    </w:p>
    <w:p w:rsidR="001C1676" w:rsidRPr="001C1676" w:rsidRDefault="001C1676" w:rsidP="008D522B">
      <w:pPr>
        <w:jc w:val="both"/>
        <w:rPr>
          <w:b/>
          <w:bCs/>
        </w:rPr>
      </w:pPr>
      <w:r w:rsidRPr="001C1676">
        <w:rPr>
          <w:b/>
          <w:bCs/>
        </w:rPr>
        <w:t>1. Ön Alıcı Savunma Stratejisinin Tanımı ve İsrail'in Güvenlik Doktrini</w:t>
      </w:r>
    </w:p>
    <w:p w:rsidR="001C1676" w:rsidRPr="001C1676" w:rsidRDefault="001C1676" w:rsidP="008D522B">
      <w:pPr>
        <w:jc w:val="both"/>
      </w:pPr>
      <w:r w:rsidRPr="001C1676">
        <w:t>Ön alıcı savunma stratejisi, düşmanın saldırıya geçmeden önce harekete geçerek tehdidi ortadan kaldırmayı amaçlar. İsrail'in bu stratejiyi benimsemesinin temelinde, coğrafi ve demografik olarak küçük bir ülke olmasının ve çevresindeki komşu ülkelerle yaşadığı sürekli gerilimlerin yarattığı güvenlik kaygıları bulunmaktadır. İsrail, bu strateji ile potansiyel tehditleri erken aşamada etkisiz hale getirerek, kendi güvenliğini ve varlığını korumayı hedefler.</w:t>
      </w:r>
    </w:p>
    <w:p w:rsidR="00D15187" w:rsidRDefault="00D15187" w:rsidP="008D522B">
      <w:pPr>
        <w:jc w:val="both"/>
        <w:rPr>
          <w:b/>
          <w:bCs/>
        </w:rPr>
      </w:pPr>
    </w:p>
    <w:p w:rsidR="001C1676" w:rsidRPr="001C1676" w:rsidRDefault="001C1676" w:rsidP="008D522B">
      <w:pPr>
        <w:jc w:val="both"/>
        <w:rPr>
          <w:b/>
          <w:bCs/>
        </w:rPr>
      </w:pPr>
      <w:r w:rsidRPr="001C1676">
        <w:rPr>
          <w:b/>
          <w:bCs/>
        </w:rPr>
        <w:t>2. Tarihte Öne Çıkan Ön Alıcı Savunma Stratejileri</w:t>
      </w:r>
    </w:p>
    <w:p w:rsidR="001C1676" w:rsidRPr="001C1676" w:rsidRDefault="001C1676" w:rsidP="008D522B">
      <w:pPr>
        <w:jc w:val="both"/>
        <w:rPr>
          <w:b/>
          <w:bCs/>
        </w:rPr>
      </w:pPr>
      <w:r w:rsidRPr="001C1676">
        <w:rPr>
          <w:b/>
          <w:bCs/>
        </w:rPr>
        <w:t>2.1. 1956 Sina Yarımadası Krizi ve Süveyş Kanalı Krizi</w:t>
      </w:r>
    </w:p>
    <w:p w:rsidR="001C1676" w:rsidRPr="001C1676" w:rsidRDefault="001C1676" w:rsidP="008D522B">
      <w:pPr>
        <w:jc w:val="both"/>
      </w:pPr>
      <w:r w:rsidRPr="001C1676">
        <w:t>1956 yılında Mısır Devlet Başkanı Cemal Abdülnasır'ın Süveyş Kanalı'nı millileştirmesi, bölgedeki gerginliği tırmandırdı. İsrail, İngiltere ve Fransa ile iş birliği yaparak Mısır'a karşı ön alıcı bir saldırı gerçekleştirdi. Bu operasyon, Mısır’ın kanal üzerindeki kontrolünü ve bölgede İsrail’e yönelik tehdidi azaltmayı amaçlıyordu. Bu olay, İsrail'in güvenlik stratejisinde aktif savunma anlayışının ilk büyük ölçekli uygulamalarından biri olarak değerlendirilebilir.</w:t>
      </w:r>
    </w:p>
    <w:p w:rsidR="001C1676" w:rsidRPr="001C1676" w:rsidRDefault="001C1676" w:rsidP="008D522B">
      <w:pPr>
        <w:jc w:val="both"/>
        <w:rPr>
          <w:b/>
          <w:bCs/>
        </w:rPr>
      </w:pPr>
      <w:r w:rsidRPr="001C1676">
        <w:rPr>
          <w:b/>
          <w:bCs/>
        </w:rPr>
        <w:t>2.2. 1967 Altı Gün Savaşı</w:t>
      </w:r>
    </w:p>
    <w:p w:rsidR="001C1676" w:rsidRPr="001C1676" w:rsidRDefault="001C1676" w:rsidP="008D522B">
      <w:pPr>
        <w:jc w:val="both"/>
      </w:pPr>
      <w:r w:rsidRPr="001C1676">
        <w:t>Altı Gün Savaşı, İsrail’in ön alıcı savunma stratejisinin en bilinen örneklerinden biridir. 1967 yılında, Mısır, Suriye ve Ürdün’ün İsrail’e karşı hazırlık yaptığına dair istihbarat alan İsrail, bu ülkelerin hava kuvvetlerini hedef alarak bir dizi hava saldırısı başlattı. İsrail, bu operasyonla Arap koalisyonunun hava üstünlüğünü kırmayı ve kendisine yönelik yakın bir tehdidi önlemeyi hedefledi. Bu savaş sonucunda İsrail, Batı Şeria, Gazze Şeridi, Golan Tepeleri ve Sina Yarımadası gibi stratejik bölgeleri ele geçirdi.</w:t>
      </w:r>
    </w:p>
    <w:p w:rsidR="001C1676" w:rsidRPr="001C1676" w:rsidRDefault="001C1676" w:rsidP="008D522B">
      <w:pPr>
        <w:jc w:val="both"/>
        <w:rPr>
          <w:b/>
          <w:bCs/>
        </w:rPr>
      </w:pPr>
      <w:r w:rsidRPr="001C1676">
        <w:rPr>
          <w:b/>
          <w:bCs/>
        </w:rPr>
        <w:t>2.3. 1981 Osirak Reaktörü Saldırısı</w:t>
      </w:r>
    </w:p>
    <w:p w:rsidR="001C1676" w:rsidRPr="001C1676" w:rsidRDefault="001C1676" w:rsidP="008D522B">
      <w:pPr>
        <w:jc w:val="both"/>
      </w:pPr>
      <w:r w:rsidRPr="001C1676">
        <w:t>1981 yılında İsrail, Irak’ın nükleer programını durdurmak amacıyla Bağdat yakınlarındaki Osirak nükleer reaktörünü bombaladı. "Opera Operasyonu" olarak bilinen bu saldırı, İsrail’in bölgedeki nükleer silahlanmayı önlemeye yönelik bir ön alıcı savunma hamlesiydi. İsrail, bu operasyonun gerekçesi olarak, Irak'ın nükleer kapasiteye ulaşmasının İsrail’in varlığı için büyük bir tehdit oluşturacağını ileri sürdü.</w:t>
      </w:r>
    </w:p>
    <w:p w:rsidR="001C1676" w:rsidRPr="001C1676" w:rsidRDefault="001C1676" w:rsidP="008D522B">
      <w:pPr>
        <w:jc w:val="both"/>
        <w:rPr>
          <w:b/>
          <w:bCs/>
        </w:rPr>
      </w:pPr>
      <w:r w:rsidRPr="001C1676">
        <w:rPr>
          <w:b/>
          <w:bCs/>
        </w:rPr>
        <w:lastRenderedPageBreak/>
        <w:t>2.4. 2007 Suriye Reaktörü Saldırısı</w:t>
      </w:r>
    </w:p>
    <w:p w:rsidR="001C1676" w:rsidRPr="001C1676" w:rsidRDefault="001C1676" w:rsidP="008D522B">
      <w:pPr>
        <w:jc w:val="both"/>
      </w:pPr>
      <w:r w:rsidRPr="001C1676">
        <w:t>2007 yılında İsrail, Suriye'nin Deyrizor bölgesinde yapım aşamasında olan nükleer reaktöre bir hava saldırısı düzenledi. Bu saldırı, İsrail’in nükleer silah kapasitesine sahip bir Suriye’yi önlemek amacıyla gerçekleştirdiği ön alıcı bir operasyondu. İsrail, bu reaktörün nükleer silah üretme kapasitesine sahip olduğunu ve bu durumun bölgedeki güvenlik dengelerini bozacağını savundu.</w:t>
      </w:r>
    </w:p>
    <w:p w:rsidR="00900E22" w:rsidRDefault="00900E22" w:rsidP="008D522B">
      <w:pPr>
        <w:jc w:val="both"/>
        <w:rPr>
          <w:b/>
          <w:bCs/>
        </w:rPr>
      </w:pPr>
    </w:p>
    <w:p w:rsidR="001C1676" w:rsidRPr="001C1676" w:rsidRDefault="001C1676" w:rsidP="008D522B">
      <w:pPr>
        <w:jc w:val="both"/>
        <w:rPr>
          <w:b/>
          <w:bCs/>
        </w:rPr>
      </w:pPr>
      <w:r w:rsidRPr="001C1676">
        <w:rPr>
          <w:b/>
          <w:bCs/>
        </w:rPr>
        <w:t>3. İsrail'in Ön Alıcı Savunma Stratejilerinin Gerekçeleri</w:t>
      </w:r>
    </w:p>
    <w:p w:rsidR="001C1676" w:rsidRPr="001C1676" w:rsidRDefault="001C1676" w:rsidP="008D522B">
      <w:pPr>
        <w:jc w:val="both"/>
      </w:pPr>
      <w:r w:rsidRPr="001C1676">
        <w:t>İsrail’in ön alıcı savunma stratejilerini benimsemesinin birkaç temel nedeni bulunmaktadır:</w:t>
      </w:r>
    </w:p>
    <w:p w:rsidR="001C1676" w:rsidRPr="001C1676" w:rsidRDefault="001C1676" w:rsidP="008D522B">
      <w:pPr>
        <w:numPr>
          <w:ilvl w:val="0"/>
          <w:numId w:val="1"/>
        </w:numPr>
        <w:jc w:val="both"/>
      </w:pPr>
      <w:r w:rsidRPr="001C1676">
        <w:rPr>
          <w:b/>
          <w:bCs/>
        </w:rPr>
        <w:t>Coğrafi ve Demografik Faktörler:</w:t>
      </w:r>
      <w:r w:rsidRPr="001C1676">
        <w:t xml:space="preserve"> İsrail’in coğrafi olarak küçük ve stratejik açıdan savunmasız bir bölgede bulunması, onu savunmasını güçlendirmek ve tehditleri erkenden bertaraf etmek zorunda bırakmıştır.</w:t>
      </w:r>
    </w:p>
    <w:p w:rsidR="001C1676" w:rsidRPr="001C1676" w:rsidRDefault="001C1676" w:rsidP="008D522B">
      <w:pPr>
        <w:numPr>
          <w:ilvl w:val="0"/>
          <w:numId w:val="1"/>
        </w:numPr>
        <w:jc w:val="both"/>
      </w:pPr>
      <w:r w:rsidRPr="001C1676">
        <w:rPr>
          <w:b/>
          <w:bCs/>
        </w:rPr>
        <w:t>Askeri ve Teknolojik Üstünlük:</w:t>
      </w:r>
      <w:r w:rsidRPr="001C1676">
        <w:t xml:space="preserve"> İsrail, çevresindeki düşman ülkelere karşı teknolojik ve askeri üstünlüğünü koruyarak caydırıcılığını sürdürmeyi hedeflemiştir.</w:t>
      </w:r>
    </w:p>
    <w:p w:rsidR="001C1676" w:rsidRPr="001C1676" w:rsidRDefault="001C1676" w:rsidP="008D522B">
      <w:pPr>
        <w:numPr>
          <w:ilvl w:val="0"/>
          <w:numId w:val="1"/>
        </w:numPr>
        <w:jc w:val="both"/>
      </w:pPr>
      <w:r w:rsidRPr="001C1676">
        <w:rPr>
          <w:b/>
          <w:bCs/>
        </w:rPr>
        <w:t>Güvenlik Algısı ve Varoluş Tehdidi:</w:t>
      </w:r>
      <w:r w:rsidRPr="001C1676">
        <w:t xml:space="preserve"> İsrail, varoluşsal tehditlere karşı hassas bir güvenlik politikası izlemiştir. Bölgedeki herhangi bir tehdit, İsrail için doğrudan varlığına yönelik bir tehlike olarak algılanmış ve bu durum proaktif savunma stratejilerini teşvik etmiştir.</w:t>
      </w:r>
    </w:p>
    <w:p w:rsidR="00900E22" w:rsidRDefault="00900E22" w:rsidP="008D522B">
      <w:pPr>
        <w:jc w:val="both"/>
        <w:rPr>
          <w:b/>
          <w:bCs/>
        </w:rPr>
      </w:pPr>
    </w:p>
    <w:p w:rsidR="001C1676" w:rsidRPr="001C1676" w:rsidRDefault="001C1676" w:rsidP="008D522B">
      <w:pPr>
        <w:jc w:val="both"/>
        <w:rPr>
          <w:b/>
          <w:bCs/>
        </w:rPr>
      </w:pPr>
      <w:r w:rsidRPr="001C1676">
        <w:rPr>
          <w:b/>
          <w:bCs/>
        </w:rPr>
        <w:t>4. Uluslararası Hukuk ve Etik Tartışmalar</w:t>
      </w:r>
    </w:p>
    <w:p w:rsidR="001C1676" w:rsidRPr="001C1676" w:rsidRDefault="001C1676" w:rsidP="008D522B">
      <w:pPr>
        <w:jc w:val="both"/>
      </w:pPr>
      <w:r w:rsidRPr="001C1676">
        <w:t>İsrail’in ön alıcı savunma stratejileri, uluslararası hukuk ve etik bağlamında sıkça tartışmalara yol açmıştır. BM Şartı, devletlerin diğer devletlere karşı kuvvet kullanmasını yasaklar ve meşru müdafaa hakkını ancak bir saldırıya maruz kalma durumu için tanır. İsrail’in ön alıcı savunma operasyonları, bu bağlamda genellikle eleştirilmiş ve uluslararası toplumda tepki toplamıştır.</w:t>
      </w:r>
    </w:p>
    <w:p w:rsidR="001C1676" w:rsidRPr="001C1676" w:rsidRDefault="001C1676" w:rsidP="008D522B">
      <w:pPr>
        <w:jc w:val="both"/>
      </w:pPr>
      <w:r w:rsidRPr="001C1676">
        <w:t>Özellikle 1981 Osirak ve 2007 Suriye reaktörü saldırıları, uluslararası hukukta "meşru müdafaa" kapsamında değerlendirilmeyerek, "agresif ve hukuka aykırı" eylemler olarak nitelendirilmiştir. Bununla birlikte, İsrail, bu saldırıları bölgesel güvenliğe ve kendi varlığına yönelik kaçınılmaz tehditlere karşı "önleyici müdahale" olarak savunmuştur.</w:t>
      </w:r>
    </w:p>
    <w:p w:rsidR="00900E22" w:rsidRDefault="00900E22" w:rsidP="008D522B">
      <w:pPr>
        <w:jc w:val="both"/>
        <w:rPr>
          <w:b/>
          <w:bCs/>
        </w:rPr>
      </w:pPr>
    </w:p>
    <w:p w:rsidR="001C1676" w:rsidRPr="001C1676" w:rsidRDefault="001C1676" w:rsidP="008D522B">
      <w:pPr>
        <w:jc w:val="both"/>
        <w:rPr>
          <w:b/>
          <w:bCs/>
        </w:rPr>
      </w:pPr>
      <w:r w:rsidRPr="001C1676">
        <w:rPr>
          <w:b/>
          <w:bCs/>
        </w:rPr>
        <w:t>5. İsrail’in Ön Alıcı Savunma Stratejilerinin Uluslararası Etkileri</w:t>
      </w:r>
    </w:p>
    <w:p w:rsidR="001C1676" w:rsidRPr="001C1676" w:rsidRDefault="001C1676" w:rsidP="008D522B">
      <w:pPr>
        <w:jc w:val="both"/>
      </w:pPr>
      <w:r w:rsidRPr="001C1676">
        <w:t>İsrail’in ön alıcı savunma stratejileri, Orta Doğu’daki askeri ve siyasi dengeleri önemli ölçüde etkilemiştir:</w:t>
      </w:r>
    </w:p>
    <w:p w:rsidR="001C1676" w:rsidRPr="001C1676" w:rsidRDefault="001C1676" w:rsidP="008D522B">
      <w:pPr>
        <w:numPr>
          <w:ilvl w:val="0"/>
          <w:numId w:val="2"/>
        </w:numPr>
        <w:jc w:val="both"/>
      </w:pPr>
      <w:r w:rsidRPr="001C1676">
        <w:rPr>
          <w:b/>
          <w:bCs/>
        </w:rPr>
        <w:t>Bölgesel Güç Dengesi:</w:t>
      </w:r>
      <w:r w:rsidRPr="001C1676">
        <w:t xml:space="preserve"> İsrail’in bu tür operasyonları, bölgedeki diğer ülkeleri silahlanma ve savunma kapasitelerini artırma konusunda motive etmiş, bu da silahlanma yarışını hızlandırmıştır.</w:t>
      </w:r>
    </w:p>
    <w:p w:rsidR="001C1676" w:rsidRPr="001C1676" w:rsidRDefault="001C1676" w:rsidP="008D522B">
      <w:pPr>
        <w:numPr>
          <w:ilvl w:val="0"/>
          <w:numId w:val="2"/>
        </w:numPr>
        <w:jc w:val="both"/>
      </w:pPr>
      <w:r w:rsidRPr="001C1676">
        <w:rPr>
          <w:b/>
          <w:bCs/>
        </w:rPr>
        <w:t>Uluslararası Tepkiler ve Diplomatik Gerginlikler:</w:t>
      </w:r>
      <w:r w:rsidRPr="001C1676">
        <w:t xml:space="preserve"> İsrail’in ön alıcı savunma hamleleri, genellikle uluslararası alanda kınanmış ve İsrail’e yönelik diplomatik baskıların </w:t>
      </w:r>
      <w:r w:rsidRPr="001C1676">
        <w:lastRenderedPageBreak/>
        <w:t>artmasına neden olmuştur. Bu durum, İsrail’in bazı müttefikleri ile ilişkilerinde de gerilime yol açmıştır.</w:t>
      </w:r>
    </w:p>
    <w:p w:rsidR="001C1676" w:rsidRPr="001C1676" w:rsidRDefault="001C1676" w:rsidP="008D522B">
      <w:pPr>
        <w:numPr>
          <w:ilvl w:val="0"/>
          <w:numId w:val="2"/>
        </w:numPr>
        <w:jc w:val="both"/>
      </w:pPr>
      <w:r w:rsidRPr="001C1676">
        <w:rPr>
          <w:b/>
          <w:bCs/>
        </w:rPr>
        <w:t>Caydırıcılık ve Güvenlik:</w:t>
      </w:r>
      <w:r w:rsidRPr="001C1676">
        <w:t xml:space="preserve"> İsrail’in bu stratejileri, bölgedeki düşmanlarına karşı bir caydırıcılık unsuru oluşturarak, potansiyel tehditleri azaltma amacı taşımıştır. Ancak bu tür müdahaleler, aynı zamanda bölgedeki gerilimleri artırma riskini de beraberinde getirmiştir.</w:t>
      </w:r>
    </w:p>
    <w:p w:rsidR="00900E22" w:rsidRDefault="00900E22" w:rsidP="008D522B">
      <w:pPr>
        <w:jc w:val="both"/>
        <w:rPr>
          <w:b/>
          <w:bCs/>
        </w:rPr>
      </w:pPr>
    </w:p>
    <w:p w:rsidR="001C1676" w:rsidRPr="001C1676" w:rsidRDefault="001C1676" w:rsidP="008D522B">
      <w:pPr>
        <w:jc w:val="both"/>
        <w:rPr>
          <w:b/>
          <w:bCs/>
        </w:rPr>
      </w:pPr>
      <w:r w:rsidRPr="001C1676">
        <w:rPr>
          <w:b/>
          <w:bCs/>
        </w:rPr>
        <w:t>6. Sonuç</w:t>
      </w:r>
      <w:r w:rsidR="009A7DAF">
        <w:rPr>
          <w:b/>
          <w:bCs/>
        </w:rPr>
        <w:t xml:space="preserve"> Yerine</w:t>
      </w:r>
    </w:p>
    <w:p w:rsidR="001C1676" w:rsidRPr="001C1676" w:rsidRDefault="001C1676" w:rsidP="008D522B">
      <w:pPr>
        <w:jc w:val="both"/>
      </w:pPr>
      <w:r w:rsidRPr="001C1676">
        <w:t>İsrail, tarihsel olarak ön alıcı savunma stratejilerini benimseyerek, bölgesel gü</w:t>
      </w:r>
      <w:r w:rsidR="009A7DAF">
        <w:t>venliğini sağlamaya çalışmaktadır.</w:t>
      </w:r>
      <w:r w:rsidRPr="001C1676">
        <w:t xml:space="preserve"> Bu strateji, </w:t>
      </w:r>
      <w:r w:rsidR="00536BDD">
        <w:t>bugüne kadar</w:t>
      </w:r>
      <w:r w:rsidRPr="001C1676">
        <w:t xml:space="preserve"> İsrail’in güvenlik endişelerini giderse de, uluslararası hukuk ve etik</w:t>
      </w:r>
      <w:r w:rsidR="009A7DAF">
        <w:t xml:space="preserve"> bağlamda </w:t>
      </w:r>
      <w:r w:rsidR="00536BDD">
        <w:t>gittikçe daha sık</w:t>
      </w:r>
      <w:r w:rsidR="009A7DAF">
        <w:t xml:space="preserve"> eleştirilmektedir.</w:t>
      </w:r>
      <w:r w:rsidRPr="001C1676">
        <w:t xml:space="preserve"> İsrail’in bu yaklaşımı, Orta Doğu’daki güvenlik dinamiklerini </w:t>
      </w:r>
      <w:r w:rsidR="00536BDD">
        <w:t xml:space="preserve">aynı süreçte </w:t>
      </w:r>
      <w:r w:rsidRPr="001C1676">
        <w:t>şekillendirmiş ve bölgedeki askeri stratejilerin belirlenm</w:t>
      </w:r>
      <w:r w:rsidR="009A7DAF">
        <w:t>es</w:t>
      </w:r>
      <w:r w:rsidR="00536BDD">
        <w:t>inde önemli bir rol oynamıştır</w:t>
      </w:r>
      <w:r w:rsidRPr="001C1676">
        <w:t xml:space="preserve">. </w:t>
      </w:r>
      <w:r w:rsidR="009A7DAF">
        <w:t>Bölgedeki yeni askeri strate</w:t>
      </w:r>
      <w:r w:rsidR="004174F2">
        <w:t>jilere bağlı olarak</w:t>
      </w:r>
      <w:r w:rsidR="00536BDD">
        <w:t xml:space="preserve">, yeni </w:t>
      </w:r>
      <w:r w:rsidR="004174F2">
        <w:t>t</w:t>
      </w:r>
      <w:r w:rsidR="00536BDD">
        <w:t>e</w:t>
      </w:r>
      <w:r w:rsidR="004174F2">
        <w:t xml:space="preserve">hditlere göre güncellenen ön alıcı savunma stratejisi ve </w:t>
      </w:r>
      <w:r w:rsidR="00A67579">
        <w:t>geçtiğimiz günlerde “derin sabır”la onlarca yılda “mayala</w:t>
      </w:r>
      <w:r w:rsidR="005829AF">
        <w:t>nmış</w:t>
      </w:r>
      <w:bookmarkStart w:id="0" w:name="_GoBack"/>
      <w:bookmarkEnd w:id="0"/>
      <w:r w:rsidR="00A67579">
        <w:t>”</w:t>
      </w:r>
      <w:r w:rsidR="00992683" w:rsidRPr="00992683">
        <w:t xml:space="preserve"> </w:t>
      </w:r>
      <w:r w:rsidR="00992683">
        <w:t>yeni örneklerini gördüğümüz,</w:t>
      </w:r>
      <w:r w:rsidR="00A67579">
        <w:t xml:space="preserve"> </w:t>
      </w:r>
      <w:r w:rsidR="00536BDD">
        <w:t xml:space="preserve">siber-konvansiyanel </w:t>
      </w:r>
      <w:r w:rsidR="00992683">
        <w:t>(</w:t>
      </w:r>
      <w:r w:rsidR="00536BDD">
        <w:t>hibrid</w:t>
      </w:r>
      <w:r w:rsidR="00992683">
        <w:t>)</w:t>
      </w:r>
      <w:r w:rsidR="00536BDD">
        <w:t xml:space="preserve"> </w:t>
      </w:r>
      <w:r w:rsidR="00992683">
        <w:t xml:space="preserve">ön alıcı </w:t>
      </w:r>
      <w:r w:rsidR="004174F2">
        <w:t xml:space="preserve">savunma taktikleri, </w:t>
      </w:r>
      <w:r w:rsidRPr="001C1676">
        <w:t xml:space="preserve">bölgesel ve küresel güvenlik dengeleri </w:t>
      </w:r>
      <w:r w:rsidR="00536BDD">
        <w:t xml:space="preserve">ve uluslararası hukuk </w:t>
      </w:r>
      <w:r w:rsidRPr="001C1676">
        <w:t xml:space="preserve">açısından dikkatle izlenmesi gereken </w:t>
      </w:r>
      <w:r w:rsidR="00536BDD">
        <w:t>bir konu ol</w:t>
      </w:r>
      <w:r w:rsidR="00992683">
        <w:t>maya devam edecektir.</w:t>
      </w:r>
    </w:p>
    <w:p w:rsidR="001C1676" w:rsidRDefault="001C1676" w:rsidP="008D522B">
      <w:pPr>
        <w:jc w:val="both"/>
      </w:pPr>
    </w:p>
    <w:p w:rsidR="001C1676" w:rsidRDefault="001C1676" w:rsidP="008D522B">
      <w:pPr>
        <w:jc w:val="both"/>
      </w:pPr>
    </w:p>
    <w:p w:rsidR="001C1676" w:rsidRDefault="001C1676" w:rsidP="008D522B">
      <w:pPr>
        <w:jc w:val="both"/>
      </w:pPr>
    </w:p>
    <w:p w:rsidR="001C1676" w:rsidRDefault="001C1676" w:rsidP="008D522B">
      <w:pPr>
        <w:jc w:val="both"/>
      </w:pPr>
    </w:p>
    <w:sectPr w:rsidR="001C1676" w:rsidSect="00695D19">
      <w:pgSz w:w="11910" w:h="16840"/>
      <w:pgMar w:top="1843" w:right="1418" w:bottom="1701" w:left="2268" w:header="0" w:footer="100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4C" w:rsidRDefault="00CC344C" w:rsidP="00695D19">
      <w:pPr>
        <w:spacing w:after="0" w:line="240" w:lineRule="auto"/>
      </w:pPr>
      <w:r>
        <w:separator/>
      </w:r>
    </w:p>
  </w:endnote>
  <w:endnote w:type="continuationSeparator" w:id="0">
    <w:p w:rsidR="00CC344C" w:rsidRDefault="00CC344C" w:rsidP="0069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4C" w:rsidRDefault="00CC344C" w:rsidP="00695D19">
      <w:pPr>
        <w:spacing w:after="0" w:line="240" w:lineRule="auto"/>
      </w:pPr>
      <w:r>
        <w:separator/>
      </w:r>
    </w:p>
  </w:footnote>
  <w:footnote w:type="continuationSeparator" w:id="0">
    <w:p w:rsidR="00CC344C" w:rsidRDefault="00CC344C" w:rsidP="00695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70DD"/>
    <w:multiLevelType w:val="multilevel"/>
    <w:tmpl w:val="3684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C2429"/>
    <w:multiLevelType w:val="multilevel"/>
    <w:tmpl w:val="E134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D67CD"/>
    <w:multiLevelType w:val="multilevel"/>
    <w:tmpl w:val="D2C6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B388C"/>
    <w:multiLevelType w:val="multilevel"/>
    <w:tmpl w:val="0834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76"/>
    <w:rsid w:val="000C567A"/>
    <w:rsid w:val="001C1676"/>
    <w:rsid w:val="004174F2"/>
    <w:rsid w:val="0048497F"/>
    <w:rsid w:val="00536BDD"/>
    <w:rsid w:val="005829AF"/>
    <w:rsid w:val="00695D19"/>
    <w:rsid w:val="006C0CC7"/>
    <w:rsid w:val="008166BC"/>
    <w:rsid w:val="00836029"/>
    <w:rsid w:val="008D522B"/>
    <w:rsid w:val="00900E22"/>
    <w:rsid w:val="00992683"/>
    <w:rsid w:val="009A7DAF"/>
    <w:rsid w:val="00A67579"/>
    <w:rsid w:val="00CB6193"/>
    <w:rsid w:val="00CC344C"/>
    <w:rsid w:val="00D15187"/>
    <w:rsid w:val="00D16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C8A3"/>
  <w15:chartTrackingRefBased/>
  <w15:docId w15:val="{B538DC49-74B0-4FB6-BBDD-01CF17F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5D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5D19"/>
    <w:rPr>
      <w:noProof/>
    </w:rPr>
  </w:style>
  <w:style w:type="paragraph" w:styleId="AltBilgi">
    <w:name w:val="footer"/>
    <w:basedOn w:val="Normal"/>
    <w:link w:val="AltBilgiChar"/>
    <w:uiPriority w:val="99"/>
    <w:unhideWhenUsed/>
    <w:rsid w:val="00695D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5D1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45138">
      <w:bodyDiv w:val="1"/>
      <w:marLeft w:val="0"/>
      <w:marRight w:val="0"/>
      <w:marTop w:val="0"/>
      <w:marBottom w:val="0"/>
      <w:divBdr>
        <w:top w:val="none" w:sz="0" w:space="0" w:color="auto"/>
        <w:left w:val="none" w:sz="0" w:space="0" w:color="auto"/>
        <w:bottom w:val="none" w:sz="0" w:space="0" w:color="auto"/>
        <w:right w:val="none" w:sz="0" w:space="0" w:color="auto"/>
      </w:divBdr>
      <w:divsChild>
        <w:div w:id="1579559333">
          <w:marLeft w:val="0"/>
          <w:marRight w:val="0"/>
          <w:marTop w:val="0"/>
          <w:marBottom w:val="0"/>
          <w:divBdr>
            <w:top w:val="none" w:sz="0" w:space="0" w:color="auto"/>
            <w:left w:val="none" w:sz="0" w:space="0" w:color="auto"/>
            <w:bottom w:val="none" w:sz="0" w:space="0" w:color="auto"/>
            <w:right w:val="none" w:sz="0" w:space="0" w:color="auto"/>
          </w:divBdr>
          <w:divsChild>
            <w:div w:id="808666916">
              <w:marLeft w:val="0"/>
              <w:marRight w:val="0"/>
              <w:marTop w:val="0"/>
              <w:marBottom w:val="0"/>
              <w:divBdr>
                <w:top w:val="none" w:sz="0" w:space="0" w:color="auto"/>
                <w:left w:val="none" w:sz="0" w:space="0" w:color="auto"/>
                <w:bottom w:val="none" w:sz="0" w:space="0" w:color="auto"/>
                <w:right w:val="none" w:sz="0" w:space="0" w:color="auto"/>
              </w:divBdr>
              <w:divsChild>
                <w:div w:id="424961429">
                  <w:marLeft w:val="0"/>
                  <w:marRight w:val="0"/>
                  <w:marTop w:val="0"/>
                  <w:marBottom w:val="0"/>
                  <w:divBdr>
                    <w:top w:val="none" w:sz="0" w:space="0" w:color="auto"/>
                    <w:left w:val="none" w:sz="0" w:space="0" w:color="auto"/>
                    <w:bottom w:val="none" w:sz="0" w:space="0" w:color="auto"/>
                    <w:right w:val="none" w:sz="0" w:space="0" w:color="auto"/>
                  </w:divBdr>
                  <w:divsChild>
                    <w:div w:id="5325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1610</Words>
  <Characters>9178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Alp ASLAN</cp:lastModifiedBy>
  <cp:revision>2</cp:revision>
  <dcterms:created xsi:type="dcterms:W3CDTF">2024-09-22T05:55:00Z</dcterms:created>
  <dcterms:modified xsi:type="dcterms:W3CDTF">2024-09-22T09:52:00Z</dcterms:modified>
</cp:coreProperties>
</file>